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pPr w:bottomFromText="0" w:horzAnchor="margin" w:leftFromText="180" w:rightFromText="180" w:tblpX="0" w:tblpY="510" w:topFromText="0" w:vertAnchor="margin"/>
        <w:tblW w:w="9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0"/>
      </w:tblGrid>
      <w:tr>
        <w:trPr>
          <w:trHeight w:val="925" w:hRule="atLeast"/>
        </w:trPr>
        <w:tc>
          <w:tcPr>
            <w:tcW w:w="9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42" w:leader="none"/>
                <w:tab w:val="left" w:pos="7350" w:leader="none"/>
              </w:tabs>
              <w:snapToGrid w:val="false"/>
              <w:rPr/>
            </w:pPr>
            <w:r>
              <w:rPr/>
              <w:tab/>
            </w:r>
            <w:r>
              <w:rPr/>
              <w:drawing>
                <wp:inline distT="0" distB="0" distL="0" distR="0">
                  <wp:extent cx="516890" cy="5886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ab/>
              <w:t xml:space="preserve">                </w:t>
            </w:r>
          </w:p>
        </w:tc>
      </w:tr>
      <w:tr>
        <w:trPr>
          <w:trHeight w:val="1166" w:hRule="atLeast"/>
        </w:trPr>
        <w:tc>
          <w:tcPr>
            <w:tcW w:w="9500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W w:w="438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9"/>
        <w:gridCol w:w="1081"/>
        <w:gridCol w:w="744"/>
        <w:gridCol w:w="484"/>
        <w:gridCol w:w="1591"/>
      </w:tblGrid>
      <w:tr>
        <w:trPr/>
        <w:tc>
          <w:tcPr>
            <w:tcW w:w="47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от 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01.07.2022г.</w:t>
            </w:r>
          </w:p>
        </w:tc>
        <w:tc>
          <w:tcPr>
            <w:tcW w:w="4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№ 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382</w:t>
            </w:r>
          </w:p>
        </w:tc>
      </w:tr>
      <w:tr>
        <w:trPr>
          <w:trHeight w:val="363" w:hRule="atLeast"/>
        </w:trPr>
        <w:tc>
          <w:tcPr>
            <w:tcW w:w="15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п г т. Арти</w:t>
            </w:r>
          </w:p>
        </w:tc>
        <w:tc>
          <w:tcPr>
            <w:tcW w:w="28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200" w:leader="none"/>
        </w:tabs>
        <w:rPr>
          <w:color w:val="FF0000"/>
        </w:rPr>
      </w:pPr>
      <w:r>
        <w:rPr/>
        <w:t xml:space="preserve">                      </w:t>
      </w:r>
      <w:r>
        <w:rPr>
          <w:color w:val="FF0000"/>
        </w:rPr>
        <w:t xml:space="preserve">                                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  внесении изменений в постановление Администрации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Артинского городского округа от 18.02.2019г. № 175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муниципальной программы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</w:rPr>
        <w:t xml:space="preserve">«Развитие культуры в Артинском городском округе до 2024года»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(в редакции постановлений от 23.04.2019г. № 686,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от 26.07.2019г. № 888,  от 11.11.2019 № 1166,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от 10.02.2020 № 92, от 29.07.2020 № 439, от 01.02.2021 № 43, от 02.06.2021 № 298, от 24.02.2022 № 108)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hanging="360"/>
        <w:jc w:val="both"/>
        <w:rPr/>
      </w:pPr>
      <w:r>
        <w:rPr/>
        <w:t xml:space="preserve">      </w:t>
      </w:r>
      <w:r>
        <w:rPr/>
        <w:tab/>
        <w:t xml:space="preserve">В соответствии с Постановлением Администрации Артинского городского округа от 24.10.2016г. № 976 «О Порядке формирования и реализации муниципальных программ Артинского городского округа»,  Решением Думы Артинского городского округа от 28.02.2018г. № 6 «О Положении «Об Управлении культуры, спорта, туризма и молодежной политики Администрации Артинского городского округа» в новой редакции, в целях обеспечения целевого использования средств бюджета Артинского городского округа в рамках реализации </w:t>
      </w:r>
      <w:r>
        <w:rPr>
          <w:bCs/>
          <w:iCs/>
        </w:rPr>
        <w:t xml:space="preserve">муниципальной программы </w:t>
      </w:r>
      <w:r>
        <w:rPr/>
        <w:t>«Развитие культуры в Артинском городском округе до 2024 года», руководствуясь Уставом Артинского городского округа</w:t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  <w:t>ПОСТАНОВЛЯЮ:</w:t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1.Внести изменения в </w:t>
      </w:r>
      <w:r>
        <w:rPr>
          <w:bCs/>
          <w:iCs/>
        </w:rPr>
        <w:t>постановление Администрации Артинского городского округа от 18.02.2019г. № 175 «Об утверждении  муниципальной программы «Развитие  культуры в Артинском городском округе до 2024 года»</w:t>
      </w:r>
      <w:r>
        <w:rPr/>
        <w:t>:</w:t>
      </w:r>
    </w:p>
    <w:p>
      <w:pPr>
        <w:pStyle w:val="ConsPlusCell"/>
        <w:jc w:val="both"/>
        <w:rPr/>
      </w:pPr>
      <w:r>
        <w:rPr/>
        <w:t xml:space="preserve">          </w:t>
      </w:r>
      <w:r>
        <w:rPr/>
        <w:t>1.1.Строку 6 Паспорта муниципальной программы «Объемы финансирования муниципальной программы по годам реализации» изложить в следующей редакции:</w:t>
      </w:r>
    </w:p>
    <w:p>
      <w:pPr>
        <w:pStyle w:val="ConsPlusCell"/>
        <w:ind w:left="709" w:hanging="0"/>
        <w:rPr/>
      </w:pPr>
      <w:r>
        <w:rPr/>
        <w:t>Всего – 820 332,3 тыс.рублей, в том числе</w:t>
      </w:r>
    </w:p>
    <w:p>
      <w:pPr>
        <w:pStyle w:val="ConsPlusCell"/>
        <w:ind w:left="709" w:hanging="0"/>
        <w:rPr/>
      </w:pPr>
      <w:r>
        <w:rPr/>
        <w:t>2019 год – 125 848,4 тыс.рублей,</w:t>
      </w:r>
    </w:p>
    <w:p>
      <w:pPr>
        <w:pStyle w:val="ConsPlusCell"/>
        <w:ind w:left="709" w:hanging="0"/>
        <w:rPr/>
      </w:pPr>
      <w:r>
        <w:rPr/>
        <w:t>2020 год – 130 094,2 тыс.рублей,</w:t>
      </w:r>
    </w:p>
    <w:p>
      <w:pPr>
        <w:pStyle w:val="ConsPlusCell"/>
        <w:ind w:left="709" w:hanging="0"/>
        <w:rPr/>
      </w:pPr>
      <w:r>
        <w:rPr/>
        <w:t>2021 год – 135 590,0 тыс.рублей,</w:t>
      </w:r>
    </w:p>
    <w:p>
      <w:pPr>
        <w:pStyle w:val="ConsPlusCell"/>
        <w:ind w:left="709" w:hanging="0"/>
        <w:rPr/>
      </w:pPr>
      <w:r>
        <w:rPr/>
        <w:t>2022 год – 151 198,7 тыс.рублей,</w:t>
      </w:r>
    </w:p>
    <w:p>
      <w:pPr>
        <w:pStyle w:val="ConsPlusCell"/>
        <w:ind w:left="709" w:hanging="0"/>
        <w:rPr/>
      </w:pPr>
      <w:r>
        <w:rPr/>
        <w:t>2023 год – 138 105,0 тыс.рублей,</w:t>
      </w:r>
    </w:p>
    <w:p>
      <w:pPr>
        <w:pStyle w:val="ConsPlusCell"/>
        <w:ind w:left="709" w:hanging="0"/>
        <w:rPr/>
      </w:pPr>
      <w:r>
        <w:rPr/>
        <w:t xml:space="preserve">2024 год – 139 496,0 тыс.рублей, из них: </w:t>
      </w:r>
    </w:p>
    <w:p>
      <w:pPr>
        <w:pStyle w:val="ConsPlusCell"/>
        <w:ind w:left="709" w:hanging="0"/>
        <w:rPr/>
      </w:pPr>
      <w:r>
        <w:rPr/>
        <w:t>федеральный бюджет: 612,3 тыс.руб, в том числе</w:t>
      </w:r>
    </w:p>
    <w:p>
      <w:pPr>
        <w:pStyle w:val="ConsPlusCell"/>
        <w:ind w:left="709" w:hanging="0"/>
        <w:rPr/>
      </w:pPr>
      <w:r>
        <w:rPr/>
        <w:t>2019 год – 0,0 тыс.рублей,</w:t>
      </w:r>
    </w:p>
    <w:p>
      <w:pPr>
        <w:pStyle w:val="ConsPlusCell"/>
        <w:ind w:left="709" w:hanging="0"/>
        <w:rPr/>
      </w:pPr>
      <w:r>
        <w:rPr/>
        <w:t>2020 год – 0,0 тыс.рублей,</w:t>
      </w:r>
    </w:p>
    <w:p>
      <w:pPr>
        <w:pStyle w:val="ConsPlusCell"/>
        <w:ind w:left="709" w:hanging="0"/>
        <w:rPr/>
      </w:pPr>
      <w:r>
        <w:rPr/>
        <w:t>2021 год – 0,0 тыс.рублей,</w:t>
      </w:r>
    </w:p>
    <w:p>
      <w:pPr>
        <w:pStyle w:val="ConsPlusCell"/>
        <w:ind w:left="709" w:hanging="0"/>
        <w:rPr/>
      </w:pPr>
      <w:r>
        <w:rPr/>
        <w:t>2022 год – 612,3 тыс.рублей,</w:t>
      </w:r>
    </w:p>
    <w:p>
      <w:pPr>
        <w:pStyle w:val="ConsPlusCell"/>
        <w:ind w:left="709" w:hanging="0"/>
        <w:rPr/>
      </w:pPr>
      <w:r>
        <w:rPr/>
        <w:t>2023 год – 0,0 тыс.рублей,</w:t>
      </w:r>
    </w:p>
    <w:p>
      <w:pPr>
        <w:pStyle w:val="ConsPlusCell"/>
        <w:ind w:left="709" w:hanging="0"/>
        <w:rPr/>
      </w:pPr>
      <w:r>
        <w:rPr/>
        <w:t>2024 год – 0,0 тыс.рублей,</w:t>
      </w:r>
    </w:p>
    <w:p>
      <w:pPr>
        <w:pStyle w:val="ConsPlusCell"/>
        <w:ind w:left="709" w:hanging="0"/>
        <w:rPr/>
      </w:pPr>
      <w:r>
        <w:rPr/>
        <w:t>областной бюджет: 4599,3 тыс.руб, в том числе</w:t>
      </w:r>
    </w:p>
    <w:p>
      <w:pPr>
        <w:pStyle w:val="ConsPlusCell"/>
        <w:ind w:left="709" w:hanging="0"/>
        <w:rPr/>
      </w:pPr>
      <w:r>
        <w:rPr/>
        <w:t>2019 год – 2409,3 тыс.рублей,</w:t>
      </w:r>
    </w:p>
    <w:p>
      <w:pPr>
        <w:pStyle w:val="ConsPlusCell"/>
        <w:ind w:left="709" w:hanging="0"/>
        <w:rPr/>
      </w:pPr>
      <w:r>
        <w:rPr/>
        <w:t>2020 год – 1781,5 тыс.рублей,</w:t>
      </w:r>
    </w:p>
    <w:p>
      <w:pPr>
        <w:pStyle w:val="ConsPlusCell"/>
        <w:ind w:left="709" w:hanging="0"/>
        <w:rPr/>
      </w:pPr>
      <w:r>
        <w:rPr/>
        <w:t>2021 год – 408,5 тыс.рублей,</w:t>
      </w:r>
    </w:p>
    <w:p>
      <w:pPr>
        <w:pStyle w:val="ConsPlusCell"/>
        <w:ind w:left="709" w:hanging="0"/>
        <w:rPr/>
      </w:pPr>
      <w:r>
        <w:rPr/>
        <w:t>2022 год – 0,0 тыс.рублей,</w:t>
      </w:r>
    </w:p>
    <w:p>
      <w:pPr>
        <w:pStyle w:val="ConsPlusCell"/>
        <w:ind w:left="709" w:hanging="0"/>
        <w:rPr/>
      </w:pPr>
      <w:r>
        <w:rPr/>
        <w:t>2023 год – 0,0 тыс.рублей,</w:t>
      </w:r>
    </w:p>
    <w:p>
      <w:pPr>
        <w:pStyle w:val="ConsPlusCell"/>
        <w:ind w:left="709" w:hanging="0"/>
        <w:rPr/>
      </w:pPr>
      <w:r>
        <w:rPr/>
        <w:t>2024 год – 0,0 тыс.рублей,</w:t>
      </w:r>
    </w:p>
    <w:p>
      <w:pPr>
        <w:pStyle w:val="ConsPlusCell"/>
        <w:ind w:left="709" w:hanging="0"/>
        <w:rPr/>
      </w:pPr>
      <w:r>
        <w:rPr/>
        <w:t xml:space="preserve">местный бюджет:  793 326,8 тыс.рублей, в том числе </w:t>
      </w:r>
    </w:p>
    <w:p>
      <w:pPr>
        <w:pStyle w:val="ConsPlusCell"/>
        <w:ind w:left="709" w:hanging="0"/>
        <w:rPr/>
      </w:pPr>
      <w:r>
        <w:rPr/>
        <w:t>2019 год – 116 167,2 тыс.рублей,</w:t>
      </w:r>
    </w:p>
    <w:p>
      <w:pPr>
        <w:pStyle w:val="ConsPlusCell"/>
        <w:ind w:left="709" w:hanging="0"/>
        <w:rPr/>
      </w:pPr>
      <w:r>
        <w:rPr/>
        <w:t>2020 год – 126 337,2 тыс.рублей</w:t>
      </w:r>
    </w:p>
    <w:p>
      <w:pPr>
        <w:pStyle w:val="ConsPlusCell"/>
        <w:ind w:left="709" w:hanging="0"/>
        <w:rPr/>
      </w:pPr>
      <w:r>
        <w:rPr/>
        <w:t>2021 год – 132 325,0 тыс.рублей</w:t>
      </w:r>
    </w:p>
    <w:p>
      <w:pPr>
        <w:pStyle w:val="ConsPlusCell"/>
        <w:ind w:left="709" w:hanging="0"/>
        <w:rPr/>
      </w:pPr>
      <w:r>
        <w:rPr/>
        <w:t>2022 год – 147 356,4 тыс.рублей,</w:t>
      </w:r>
    </w:p>
    <w:p>
      <w:pPr>
        <w:pStyle w:val="ConsPlusCell"/>
        <w:ind w:left="709" w:hanging="0"/>
        <w:rPr/>
      </w:pPr>
      <w:r>
        <w:rPr/>
        <w:t>2023 год – 134 875,0 тыс.рублей,</w:t>
      </w:r>
    </w:p>
    <w:p>
      <w:pPr>
        <w:pStyle w:val="ConsPlusCell"/>
        <w:ind w:left="709" w:hanging="0"/>
        <w:rPr/>
      </w:pPr>
      <w:r>
        <w:rPr/>
        <w:t>2024 год – 136 266,0 тыс.рублей,</w:t>
      </w:r>
    </w:p>
    <w:p>
      <w:pPr>
        <w:pStyle w:val="ConsPlusCell"/>
        <w:ind w:left="709" w:hanging="0"/>
        <w:rPr/>
      </w:pPr>
      <w:r>
        <w:rPr/>
        <w:t xml:space="preserve">внебюджетные источники: </w:t>
      </w:r>
    </w:p>
    <w:p>
      <w:pPr>
        <w:pStyle w:val="ConsPlusCell"/>
        <w:ind w:left="709" w:hanging="0"/>
        <w:rPr/>
      </w:pPr>
      <w:r>
        <w:rPr/>
        <w:t>всего -     21 793,9  тыс.рублей, в том числе</w:t>
      </w:r>
    </w:p>
    <w:p>
      <w:pPr>
        <w:pStyle w:val="ConsPlusCell"/>
        <w:ind w:left="709" w:hanging="0"/>
        <w:rPr/>
      </w:pPr>
      <w:r>
        <w:rPr/>
        <w:t>2019 год –  7 271,9 тыс.рублей</w:t>
      </w:r>
    </w:p>
    <w:p>
      <w:pPr>
        <w:pStyle w:val="ConsPlusCell"/>
        <w:ind w:left="709" w:hanging="0"/>
        <w:rPr/>
      </w:pPr>
      <w:r>
        <w:rPr/>
        <w:t>2020 год –  1 975,4 тыс.рублей,</w:t>
      </w:r>
    </w:p>
    <w:p>
      <w:pPr>
        <w:pStyle w:val="ConsPlusCell"/>
        <w:ind w:left="709" w:hanging="0"/>
        <w:rPr/>
      </w:pPr>
      <w:r>
        <w:rPr/>
        <w:t>2021 год –  2 856,5 тыс.рублей,</w:t>
      </w:r>
    </w:p>
    <w:p>
      <w:pPr>
        <w:pStyle w:val="ConsPlusCell"/>
        <w:ind w:left="709" w:hanging="0"/>
        <w:rPr/>
      </w:pPr>
      <w:r>
        <w:rPr/>
        <w:t>2022 год –  3 230,0 тыс.рублей,</w:t>
      </w:r>
    </w:p>
    <w:p>
      <w:pPr>
        <w:pStyle w:val="ConsPlusCell"/>
        <w:ind w:left="709" w:hanging="0"/>
        <w:rPr/>
      </w:pPr>
      <w:r>
        <w:rPr/>
        <w:t>2023 год -  3 230,0 тыс.рублей,</w:t>
      </w:r>
    </w:p>
    <w:p>
      <w:pPr>
        <w:pStyle w:val="ConsPlusCell"/>
        <w:ind w:left="709" w:hanging="0"/>
        <w:rPr/>
      </w:pPr>
      <w:r>
        <w:rPr/>
        <w:t>2024 год -  3 23</w:t>
      </w:r>
      <w:bookmarkStart w:id="0" w:name="_GoBack"/>
      <w:bookmarkEnd w:id="0"/>
      <w:r>
        <w:rPr/>
        <w:t>0,0  тыс.рублей,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1.2. Приложение № 2 «План мероприятий по выполнению муниципальной программы </w:t>
      </w:r>
      <w:r>
        <w:rPr>
          <w:bCs/>
          <w:iCs/>
        </w:rPr>
        <w:t>«Развитие  культуры в Артинском городском округе до 2024 года»</w:t>
      </w:r>
      <w:r>
        <w:rPr/>
        <w:t xml:space="preserve"> читать в новой редакции (приложение № 1);          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2.Настоящее постановление опубликовать в «Муниципальном вестнике» газеты «Артинские вести», на официальном сайте Администрации Артинского городского округа. </w:t>
      </w:r>
    </w:p>
    <w:p>
      <w:pPr>
        <w:pStyle w:val="Normal"/>
        <w:ind w:firstLine="708"/>
        <w:jc w:val="both"/>
        <w:rPr/>
      </w:pPr>
      <w:r>
        <w:rPr/>
        <w:t>3.Контроль за  исполнением  настоящего  постановления возложить  на</w:t>
      </w:r>
    </w:p>
    <w:p>
      <w:pPr>
        <w:pStyle w:val="Style20"/>
        <w:ind w:hanging="0"/>
        <w:rPr>
          <w:sz w:val="28"/>
        </w:rPr>
      </w:pPr>
      <w:r>
        <w:rPr>
          <w:sz w:val="28"/>
        </w:rPr>
        <w:t>заместителя Главы Администрации Артинского городского округа Токарева С. А.</w:t>
      </w:r>
    </w:p>
    <w:p>
      <w:pPr>
        <w:pStyle w:val="Style20"/>
        <w:ind w:hanging="0"/>
        <w:rPr>
          <w:sz w:val="28"/>
        </w:rPr>
      </w:pPr>
      <w:r>
        <w:rPr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iCs/>
          <w:sz w:val="28"/>
        </w:rPr>
        <w:t xml:space="preserve">     </w:t>
      </w:r>
      <w:r>
        <w:rPr>
          <w:bCs/>
          <w:iCs/>
          <w:sz w:val="28"/>
        </w:rPr>
        <w:t>Глава</w:t>
      </w:r>
      <w:r>
        <w:rPr>
          <w:bCs/>
          <w:sz w:val="28"/>
        </w:rPr>
        <w:t xml:space="preserve">  </w:t>
      </w:r>
      <w:r>
        <w:rPr>
          <w:bCs/>
          <w:iCs/>
          <w:sz w:val="28"/>
        </w:rPr>
        <w:t>Артинского городского округа</w:t>
      </w:r>
      <w:r>
        <w:rPr>
          <w:bCs/>
          <w:sz w:val="28"/>
        </w:rPr>
        <w:t xml:space="preserve">                             А.А. Константинов</w:t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3f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paragraph" w:styleId="2">
    <w:name w:val="Heading 2"/>
    <w:basedOn w:val="Normal"/>
    <w:next w:val="Normal"/>
    <w:qFormat/>
    <w:rsid w:val="003d513f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d513f"/>
    <w:rPr/>
  </w:style>
  <w:style w:type="character" w:styleId="WWAbsatzStandardschriftart" w:customStyle="1">
    <w:name w:val="WW-Absatz-Standardschriftart"/>
    <w:qFormat/>
    <w:rsid w:val="003d513f"/>
    <w:rPr/>
  </w:style>
  <w:style w:type="character" w:styleId="WWAbsatzStandardschriftart1" w:customStyle="1">
    <w:name w:val="WW-Absatz-Standardschriftart1"/>
    <w:qFormat/>
    <w:rsid w:val="003d513f"/>
    <w:rPr/>
  </w:style>
  <w:style w:type="character" w:styleId="WWAbsatzStandardschriftart11" w:customStyle="1">
    <w:name w:val="WW-Absatz-Standardschriftart11"/>
    <w:qFormat/>
    <w:rsid w:val="003d513f"/>
    <w:rPr/>
  </w:style>
  <w:style w:type="character" w:styleId="WWAbsatzStandardschriftart111" w:customStyle="1">
    <w:name w:val="WW-Absatz-Standardschriftart111"/>
    <w:qFormat/>
    <w:rsid w:val="003d513f"/>
    <w:rPr/>
  </w:style>
  <w:style w:type="character" w:styleId="WW8Num1z0" w:customStyle="1">
    <w:name w:val="WW8Num1z0"/>
    <w:qFormat/>
    <w:rsid w:val="003d513f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3d513f"/>
    <w:rPr>
      <w:rFonts w:ascii="Courier New" w:hAnsi="Courier New" w:cs="Courier New"/>
    </w:rPr>
  </w:style>
  <w:style w:type="character" w:styleId="WW8Num1z2" w:customStyle="1">
    <w:name w:val="WW8Num1z2"/>
    <w:qFormat/>
    <w:rsid w:val="003d513f"/>
    <w:rPr>
      <w:rFonts w:ascii="Wingdings" w:hAnsi="Wingdings"/>
    </w:rPr>
  </w:style>
  <w:style w:type="character" w:styleId="WW8Num1z3" w:customStyle="1">
    <w:name w:val="WW8Num1z3"/>
    <w:qFormat/>
    <w:rsid w:val="003d513f"/>
    <w:rPr>
      <w:rFonts w:ascii="Symbol" w:hAnsi="Symbol"/>
    </w:rPr>
  </w:style>
  <w:style w:type="character" w:styleId="1" w:customStyle="1">
    <w:name w:val="Основной шрифт абзаца1"/>
    <w:qFormat/>
    <w:rsid w:val="003d513f"/>
    <w:rPr/>
  </w:style>
  <w:style w:type="character" w:styleId="Style13" w:customStyle="1">
    <w:name w:val="Текст выноски Знак"/>
    <w:link w:val="ab"/>
    <w:uiPriority w:val="99"/>
    <w:semiHidden/>
    <w:qFormat/>
    <w:rsid w:val="00a543a5"/>
    <w:rPr>
      <w:rFonts w:ascii="Segoe UI" w:hAnsi="Segoe UI" w:cs="Segoe UI"/>
      <w:sz w:val="18"/>
      <w:szCs w:val="18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b177f"/>
    <w:rPr>
      <w:sz w:val="24"/>
      <w:szCs w:val="28"/>
      <w:lang w:eastAsia="ar-SA"/>
    </w:rPr>
  </w:style>
  <w:style w:type="paragraph" w:styleId="Style15" w:customStyle="1">
    <w:name w:val="Заголовок"/>
    <w:basedOn w:val="Normal"/>
    <w:next w:val="Style16"/>
    <w:qFormat/>
    <w:rsid w:val="003d513f"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Style16">
    <w:name w:val="Body Text"/>
    <w:basedOn w:val="Normal"/>
    <w:rsid w:val="003d513f"/>
    <w:pPr>
      <w:spacing w:before="0" w:after="120"/>
    </w:pPr>
    <w:rPr/>
  </w:style>
  <w:style w:type="paragraph" w:styleId="Style17">
    <w:name w:val="List"/>
    <w:basedOn w:val="Style16"/>
    <w:rsid w:val="003d513f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1"/>
    <w:basedOn w:val="Normal"/>
    <w:qFormat/>
    <w:rsid w:val="003d5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13f"/>
    <w:pPr>
      <w:suppressLineNumbers/>
    </w:pPr>
    <w:rPr>
      <w:rFonts w:cs="Mangal"/>
    </w:rPr>
  </w:style>
  <w:style w:type="paragraph" w:styleId="Style20">
    <w:name w:val="Body Text Indent"/>
    <w:basedOn w:val="Normal"/>
    <w:link w:val="a7"/>
    <w:rsid w:val="003d513f"/>
    <w:pPr>
      <w:ind w:firstLine="720"/>
      <w:jc w:val="both"/>
    </w:pPr>
    <w:rPr>
      <w:sz w:val="24"/>
    </w:rPr>
  </w:style>
  <w:style w:type="paragraph" w:styleId="ConsPlusNormal" w:customStyle="1">
    <w:name w:val="ConsPlusNormal"/>
    <w:qFormat/>
    <w:rsid w:val="003d513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13" w:customStyle="1">
    <w:name w:val="Знак1"/>
    <w:basedOn w:val="Normal"/>
    <w:qFormat/>
    <w:rsid w:val="003d513f"/>
    <w:pPr>
      <w:widowControl/>
      <w:overflowPunct w:val="fals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 w:customStyle="1">
    <w:name w:val="Содержимое таблицы"/>
    <w:basedOn w:val="Normal"/>
    <w:qFormat/>
    <w:rsid w:val="003d513f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d513f"/>
    <w:pPr>
      <w:jc w:val="center"/>
    </w:pPr>
    <w:rPr>
      <w:b/>
      <w:bCs/>
    </w:rPr>
  </w:style>
  <w:style w:type="paragraph" w:styleId="Style23" w:customStyle="1">
    <w:name w:val="Содержимое врезки"/>
    <w:basedOn w:val="Style16"/>
    <w:qFormat/>
    <w:rsid w:val="003d513f"/>
    <w:pPr/>
    <w:rPr/>
  </w:style>
  <w:style w:type="paragraph" w:styleId="ConsPlusCell" w:customStyle="1">
    <w:name w:val="ConsPlusCell"/>
    <w:uiPriority w:val="99"/>
    <w:qFormat/>
    <w:rsid w:val="009c4b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a543a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a5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9E374-DFE2-4C24-A1A1-B159FBB1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LibreOffice/7.2.6.2$Windows_X86_64 LibreOffice_project/b0ec3a565991f7569a5a7f5d24fed7f52653d754</Application>
  <AppVersion>15.0000</AppVersion>
  <Pages>3</Pages>
  <Words>712</Words>
  <Characters>4059</Characters>
  <CharactersWithSpaces>4762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2022-06-10T03:46:00Z</dcterms:created>
  <dc:creator>Админ</dc:creator>
  <dc:description/>
  <dc:language>ru-RU</dc:language>
  <cp:lastModifiedBy/>
  <cp:lastPrinted>2022-07-01T09:50:00Z</cp:lastPrinted>
  <dcterms:modified xsi:type="dcterms:W3CDTF">2022-11-25T11:09:39Z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